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1105" w14:textId="77777777" w:rsidR="002A1767" w:rsidRPr="002A1767" w:rsidRDefault="002A1767" w:rsidP="002A1767">
      <w:r w:rsidRPr="002A1767">
        <w:rPr>
          <w:b/>
          <w:bCs/>
        </w:rPr>
        <w:t>Investment Risk Disclosure</w:t>
      </w:r>
    </w:p>
    <w:p w14:paraId="7D3A9D5E" w14:textId="77777777" w:rsidR="002A1767" w:rsidRPr="002A1767" w:rsidRDefault="002A1767" w:rsidP="002A1767">
      <w:r w:rsidRPr="002A1767">
        <w:t xml:space="preserve">Investments available through the Firm’s capital markets and brokerage services — including, but not limited to, hedge funds, options, futures, stocks, and other equity securities — involve significant risks and are not suitable for all investors. All investments are subject to market risk, including fluctuations in value due to economic, political, and market conditions. Investors may lose some or </w:t>
      </w:r>
      <w:proofErr w:type="gramStart"/>
      <w:r w:rsidRPr="002A1767">
        <w:t>all of</w:t>
      </w:r>
      <w:proofErr w:type="gramEnd"/>
      <w:r w:rsidRPr="002A1767">
        <w:t xml:space="preserve"> their invested principal. There is no guarantee that any investment strategy will achieve its objectives or generate profits. All investments are subject to market risk, including fluctuations in value due to economic, political, and market conditions. Investors may lose some or </w:t>
      </w:r>
      <w:proofErr w:type="gramStart"/>
      <w:r w:rsidRPr="002A1767">
        <w:t>all of</w:t>
      </w:r>
      <w:proofErr w:type="gramEnd"/>
      <w:r w:rsidRPr="002A1767">
        <w:t xml:space="preserve"> their invested principal. There is no guarantee that any investment strategy will achieve its objectives or generate profits.</w:t>
      </w:r>
    </w:p>
    <w:p w14:paraId="4CB413F7" w14:textId="77777777" w:rsidR="002A1767" w:rsidRPr="002A1767" w:rsidRDefault="002A1767" w:rsidP="002A1767">
      <w:r w:rsidRPr="002A1767">
        <w:rPr>
          <w:b/>
          <w:bCs/>
        </w:rPr>
        <w:t>Equity securities</w:t>
      </w:r>
      <w:r w:rsidRPr="002A1767">
        <w:t>, including stocks and other equity instruments, are subject to market volatility, issuer-specific risks, sector risks, and liquidity risks. The value of equity investments may decline significantly and, in some cases, may result in a total loss of investment.</w:t>
      </w:r>
    </w:p>
    <w:p w14:paraId="336EBC07" w14:textId="77777777" w:rsidR="002A1767" w:rsidRPr="002A1767" w:rsidRDefault="002A1767" w:rsidP="002A1767">
      <w:r w:rsidRPr="002A1767">
        <w:rPr>
          <w:b/>
          <w:bCs/>
        </w:rPr>
        <w:t>Options</w:t>
      </w:r>
      <w:r w:rsidRPr="002A1767">
        <w:t> are complex and speculative instruments that involve a high degree of risk. These products may involve leverage, which can magnify both gains and losses. Investors may lose the entire amount invested and, in certain cases (such as uncovered option writing or certain futures positions), may incur losses exceeding their initial investment. These products may also be subject to significant price volatility and liquidity constraints.</w:t>
      </w:r>
    </w:p>
    <w:p w14:paraId="3A303574" w14:textId="77777777" w:rsidR="002A1767" w:rsidRPr="002A1767" w:rsidRDefault="002A1767" w:rsidP="002A1767">
      <w:r w:rsidRPr="002A1767">
        <w:rPr>
          <w:b/>
          <w:bCs/>
        </w:rPr>
        <w:t>Hedge funds and alternative investments</w:t>
      </w:r>
      <w:r w:rsidRPr="002A1767">
        <w:t> are typically speculative, may employ leverage or complex strategies, and often involve limited liquidity, lock-up periods, restrictions on redemptions, reduced transparency, and heightened market or counterparty risk. Such investments may result in substantial or complete loss of capital.</w:t>
      </w:r>
    </w:p>
    <w:p w14:paraId="667F85F8" w14:textId="77777777" w:rsidR="002A1767" w:rsidRPr="002A1767" w:rsidRDefault="002A1767" w:rsidP="002A1767">
      <w:r w:rsidRPr="002A1767">
        <w:t xml:space="preserve">Certain investments may not be readily marketable, and investors may be unable to liquidate positions at </w:t>
      </w:r>
      <w:proofErr w:type="gramStart"/>
      <w:r w:rsidRPr="002A1767">
        <w:t>a desired</w:t>
      </w:r>
      <w:proofErr w:type="gramEnd"/>
      <w:r w:rsidRPr="002A1767">
        <w:t xml:space="preserve"> time or price. Liquidity constraints may result in extended holding periods or losses.</w:t>
      </w:r>
    </w:p>
    <w:p w14:paraId="45436B56" w14:textId="77777777" w:rsidR="002A1767" w:rsidRPr="002A1767" w:rsidRDefault="002A1767" w:rsidP="002A1767">
      <w:r w:rsidRPr="002A1767">
        <w:t>Prospective investors should carefully consider their investment objectives, financial condition, risk tolerance, and liquidity needs before investing. You should review all offering materials and consult with your financial professional regarding the risks associated with any particular investment.</w:t>
      </w:r>
    </w:p>
    <w:p w14:paraId="46799FD4" w14:textId="77777777" w:rsidR="002A1767" w:rsidRPr="002A1767" w:rsidRDefault="002A1767" w:rsidP="002A1767">
      <w:r w:rsidRPr="002A1767">
        <w:rPr>
          <w:b/>
          <w:bCs/>
        </w:rPr>
        <w:t>Online Trading Platform Risk Disclosure</w:t>
      </w:r>
    </w:p>
    <w:p w14:paraId="42F55CD6" w14:textId="77777777" w:rsidR="002A1767" w:rsidRPr="002A1767" w:rsidRDefault="002A1767" w:rsidP="002A1767">
      <w:r w:rsidRPr="002A1767">
        <w:t xml:space="preserve">Online trading platforms involve risks, including system outages, transmission delays, cybersecurity threats, and other technology-related disruptions that may prevent order </w:t>
      </w:r>
      <w:r w:rsidRPr="002A1767">
        <w:lastRenderedPageBreak/>
        <w:t>entry, execution, or cancellation. During periods of market volatility or limited liquidity, orders may be executed at prices different from those displayed, or may not be executed at all.</w:t>
      </w:r>
    </w:p>
    <w:p w14:paraId="59F748E5" w14:textId="77777777" w:rsidR="002A1767" w:rsidRPr="002A1767" w:rsidRDefault="002A1767" w:rsidP="002A1767">
      <w:r w:rsidRPr="002A1767">
        <w:t>Market data and other information provided through the platform may be delayed or inaccurate. Clients are responsible for safeguarding their login credentials and monitoring account activity.</w:t>
      </w:r>
    </w:p>
    <w:p w14:paraId="7EB45A25" w14:textId="77777777" w:rsidR="002A1767" w:rsidRPr="002A1767" w:rsidRDefault="002A1767" w:rsidP="002A1767">
      <w:r w:rsidRPr="002A1767">
        <w:t>All investments involve risk, including the possible loss of principal. Access to electronic trading does not reduce the risks associated with investing.</w:t>
      </w:r>
    </w:p>
    <w:p w14:paraId="0FEB3555" w14:textId="77777777" w:rsidR="002117A8" w:rsidRDefault="002117A8"/>
    <w:sectPr w:rsidR="00211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67"/>
    <w:rsid w:val="002117A8"/>
    <w:rsid w:val="002A1767"/>
    <w:rsid w:val="008D4373"/>
    <w:rsid w:val="00983CDB"/>
    <w:rsid w:val="00A914E4"/>
    <w:rsid w:val="00C43517"/>
    <w:rsid w:val="00D3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6946"/>
  <w15:chartTrackingRefBased/>
  <w15:docId w15:val="{3F4F17AE-05E2-4EB7-97C9-C3455E94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767"/>
    <w:rPr>
      <w:rFonts w:eastAsiaTheme="majorEastAsia" w:cstheme="majorBidi"/>
      <w:color w:val="272727" w:themeColor="text1" w:themeTint="D8"/>
    </w:rPr>
  </w:style>
  <w:style w:type="paragraph" w:styleId="Title">
    <w:name w:val="Title"/>
    <w:basedOn w:val="Normal"/>
    <w:next w:val="Normal"/>
    <w:link w:val="TitleChar"/>
    <w:uiPriority w:val="10"/>
    <w:qFormat/>
    <w:rsid w:val="002A1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767"/>
    <w:pPr>
      <w:spacing w:before="160"/>
      <w:jc w:val="center"/>
    </w:pPr>
    <w:rPr>
      <w:i/>
      <w:iCs/>
      <w:color w:val="404040" w:themeColor="text1" w:themeTint="BF"/>
    </w:rPr>
  </w:style>
  <w:style w:type="character" w:customStyle="1" w:styleId="QuoteChar">
    <w:name w:val="Quote Char"/>
    <w:basedOn w:val="DefaultParagraphFont"/>
    <w:link w:val="Quote"/>
    <w:uiPriority w:val="29"/>
    <w:rsid w:val="002A1767"/>
    <w:rPr>
      <w:i/>
      <w:iCs/>
      <w:color w:val="404040" w:themeColor="text1" w:themeTint="BF"/>
    </w:rPr>
  </w:style>
  <w:style w:type="paragraph" w:styleId="ListParagraph">
    <w:name w:val="List Paragraph"/>
    <w:basedOn w:val="Normal"/>
    <w:uiPriority w:val="34"/>
    <w:qFormat/>
    <w:rsid w:val="002A1767"/>
    <w:pPr>
      <w:ind w:left="720"/>
      <w:contextualSpacing/>
    </w:pPr>
  </w:style>
  <w:style w:type="character" w:styleId="IntenseEmphasis">
    <w:name w:val="Intense Emphasis"/>
    <w:basedOn w:val="DefaultParagraphFont"/>
    <w:uiPriority w:val="21"/>
    <w:qFormat/>
    <w:rsid w:val="002A1767"/>
    <w:rPr>
      <w:i/>
      <w:iCs/>
      <w:color w:val="0F4761" w:themeColor="accent1" w:themeShade="BF"/>
    </w:rPr>
  </w:style>
  <w:style w:type="paragraph" w:styleId="IntenseQuote">
    <w:name w:val="Intense Quote"/>
    <w:basedOn w:val="Normal"/>
    <w:next w:val="Normal"/>
    <w:link w:val="IntenseQuoteChar"/>
    <w:uiPriority w:val="30"/>
    <w:qFormat/>
    <w:rsid w:val="002A1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767"/>
    <w:rPr>
      <w:i/>
      <w:iCs/>
      <w:color w:val="0F4761" w:themeColor="accent1" w:themeShade="BF"/>
    </w:rPr>
  </w:style>
  <w:style w:type="character" w:styleId="IntenseReference">
    <w:name w:val="Intense Reference"/>
    <w:basedOn w:val="DefaultParagraphFont"/>
    <w:uiPriority w:val="32"/>
    <w:qFormat/>
    <w:rsid w:val="002A17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2ECB2109D004C8434798914A43C7F" ma:contentTypeVersion="11" ma:contentTypeDescription="Create a new document." ma:contentTypeScope="" ma:versionID="c11468d0acc9afbb6a5dc43a773eeb1a">
  <xsd:schema xmlns:xsd="http://www.w3.org/2001/XMLSchema" xmlns:xs="http://www.w3.org/2001/XMLSchema" xmlns:p="http://schemas.microsoft.com/office/2006/metadata/properties" xmlns:ns2="d459d9d9-a49d-4477-8d56-f0618a10a724" xmlns:ns3="cb5c8ad5-1c57-4add-8e43-e8183bb8a75c" targetNamespace="http://schemas.microsoft.com/office/2006/metadata/properties" ma:root="true" ma:fieldsID="5c1168d33726ea77cf907e6aef33a9a5" ns2:_="" ns3:_="">
    <xsd:import namespace="d459d9d9-a49d-4477-8d56-f0618a10a724"/>
    <xsd:import namespace="cb5c8ad5-1c57-4add-8e43-e8183bb8a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9d9d9-a49d-4477-8d56-f0618a10a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0461e7-919c-4b27-8468-3d909f02f6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8ad5-1c57-4add-8e43-e8183bb8a7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8f4623-8fca-45b0-895c-b885fc3b2d31}" ma:internalName="TaxCatchAll" ma:showField="CatchAllData" ma:web="cb5c8ad5-1c57-4add-8e43-e8183bb8a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59d9d9-a49d-4477-8d56-f0618a10a724">
      <Terms xmlns="http://schemas.microsoft.com/office/infopath/2007/PartnerControls"/>
    </lcf76f155ced4ddcb4097134ff3c332f>
    <TaxCatchAll xmlns="cb5c8ad5-1c57-4add-8e43-e8183bb8a75c" xsi:nil="true"/>
  </documentManagement>
</p:properties>
</file>

<file path=customXml/itemProps1.xml><?xml version="1.0" encoding="utf-8"?>
<ds:datastoreItem xmlns:ds="http://schemas.openxmlformats.org/officeDocument/2006/customXml" ds:itemID="{9C73423E-E3B0-4921-909F-D1466EEF883A}"/>
</file>

<file path=customXml/itemProps2.xml><?xml version="1.0" encoding="utf-8"?>
<ds:datastoreItem xmlns:ds="http://schemas.openxmlformats.org/officeDocument/2006/customXml" ds:itemID="{3F72DBFD-10C1-40F2-B652-7002698B9475}">
  <ds:schemaRefs>
    <ds:schemaRef ds:uri="http://schemas.microsoft.com/sharepoint/v3/contenttype/forms"/>
  </ds:schemaRefs>
</ds:datastoreItem>
</file>

<file path=customXml/itemProps3.xml><?xml version="1.0" encoding="utf-8"?>
<ds:datastoreItem xmlns:ds="http://schemas.openxmlformats.org/officeDocument/2006/customXml" ds:itemID="{4A256305-7BA2-4B3A-AA8D-CDF48B993A28}">
  <ds:schemaRefs>
    <ds:schemaRef ds:uri="http://schemas.microsoft.com/office/2006/metadata/properties"/>
    <ds:schemaRef ds:uri="http://schemas.microsoft.com/office/infopath/2007/PartnerControls"/>
    <ds:schemaRef ds:uri="e4e73ee1-2844-44c5-bc34-ff5f5030201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2689</Characters>
  <Application>Microsoft Office Word</Application>
  <DocSecurity>0</DocSecurity>
  <Lines>70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Harnisch</dc:creator>
  <cp:keywords/>
  <dc:description/>
  <cp:lastModifiedBy>Virginia Harnisch</cp:lastModifiedBy>
  <cp:revision>2</cp:revision>
  <dcterms:created xsi:type="dcterms:W3CDTF">2026-03-29T16:55:00Z</dcterms:created>
  <dcterms:modified xsi:type="dcterms:W3CDTF">2026-03-29T16:55:00Z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0x010100C152ECB2109D004C8434798914A43C7F</vt:lpwstr>
  </property>
</Properties>
</file>